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39" w:rsidRPr="008803E2" w:rsidRDefault="004F0B19" w:rsidP="00D01A16">
      <w:pPr>
        <w:tabs>
          <w:tab w:val="center" w:pos="2805"/>
          <w:tab w:val="center" w:pos="6533"/>
        </w:tabs>
        <w:spacing w:after="0" w:line="265" w:lineRule="auto"/>
        <w:ind w:left="0" w:firstLine="0"/>
        <w:jc w:val="left"/>
        <w:rPr>
          <w:sz w:val="22"/>
        </w:rPr>
      </w:pPr>
      <w:r w:rsidRPr="008803E2">
        <w:rPr>
          <w:rFonts w:eastAsia="Calibri"/>
          <w:sz w:val="22"/>
        </w:rPr>
        <w:tab/>
      </w:r>
    </w:p>
    <w:p w:rsidR="00C96539" w:rsidRPr="008803E2" w:rsidRDefault="00286F4F">
      <w:pPr>
        <w:spacing w:after="404" w:line="250" w:lineRule="auto"/>
        <w:ind w:left="226" w:right="-15"/>
        <w:rPr>
          <w:sz w:val="22"/>
        </w:rPr>
      </w:pPr>
      <w:r w:rsidRPr="008803E2">
        <w:rPr>
          <w:b/>
          <w:sz w:val="22"/>
        </w:rPr>
        <w:t xml:space="preserve">AURRETIAZKO JENDAURREKO </w:t>
      </w:r>
      <w:r w:rsidR="00083943" w:rsidRPr="008803E2">
        <w:rPr>
          <w:b/>
          <w:sz w:val="22"/>
        </w:rPr>
        <w:t>KONTSULTA, DATU PERTSONALAK BABESTEKO</w:t>
      </w:r>
      <w:r w:rsidR="00556D7E">
        <w:rPr>
          <w:b/>
          <w:sz w:val="22"/>
        </w:rPr>
        <w:t xml:space="preserve"> LEGE</w:t>
      </w:r>
      <w:r w:rsidR="00556D7E">
        <w:rPr>
          <w:b/>
          <w:sz w:val="22"/>
        </w:rPr>
        <w:noBreakHyphen/>
        <w:t>AURREPROIEKTUARI BURUZKOA</w:t>
      </w:r>
    </w:p>
    <w:p w:rsidR="00C96539" w:rsidRPr="008803E2" w:rsidRDefault="00EC5238" w:rsidP="00EC5238">
      <w:pPr>
        <w:ind w:left="226" w:firstLine="0"/>
        <w:rPr>
          <w:sz w:val="22"/>
        </w:rPr>
      </w:pPr>
      <w:proofErr w:type="spellStart"/>
      <w:r w:rsidRPr="008803E2">
        <w:rPr>
          <w:sz w:val="22"/>
        </w:rPr>
        <w:t>Eusko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Jaurlaritzaren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Segurtasun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Sailak</w:t>
      </w:r>
      <w:proofErr w:type="spellEnd"/>
      <w:r w:rsidR="00083943" w:rsidRPr="008803E2">
        <w:rPr>
          <w:b/>
          <w:sz w:val="22"/>
        </w:rPr>
        <w:t xml:space="preserve"> </w:t>
      </w:r>
      <w:proofErr w:type="spellStart"/>
      <w:r w:rsidR="00083943" w:rsidRPr="008803E2">
        <w:rPr>
          <w:sz w:val="22"/>
        </w:rPr>
        <w:t>datu</w:t>
      </w:r>
      <w:proofErr w:type="spellEnd"/>
      <w:r w:rsidR="00083943" w:rsidRPr="008803E2">
        <w:rPr>
          <w:sz w:val="22"/>
        </w:rPr>
        <w:t xml:space="preserve"> </w:t>
      </w:r>
      <w:proofErr w:type="spellStart"/>
      <w:r w:rsidR="00083943" w:rsidRPr="008803E2">
        <w:rPr>
          <w:sz w:val="22"/>
        </w:rPr>
        <w:t>pertsonalak</w:t>
      </w:r>
      <w:proofErr w:type="spellEnd"/>
      <w:r w:rsidR="00083943" w:rsidRPr="008803E2">
        <w:rPr>
          <w:sz w:val="22"/>
        </w:rPr>
        <w:t xml:space="preserve"> </w:t>
      </w:r>
      <w:proofErr w:type="spellStart"/>
      <w:r w:rsidR="00083943" w:rsidRPr="008803E2">
        <w:rPr>
          <w:sz w:val="22"/>
        </w:rPr>
        <w:t>babesteko</w:t>
      </w:r>
      <w:proofErr w:type="spellEnd"/>
      <w:r w:rsidR="00083943"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lege</w:t>
      </w:r>
      <w:r w:rsidRPr="008803E2">
        <w:rPr>
          <w:sz w:val="22"/>
        </w:rPr>
        <w:noBreakHyphen/>
        <w:t>aurreproiektua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izapidetzea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aurreikusten</w:t>
      </w:r>
      <w:proofErr w:type="spellEnd"/>
      <w:r w:rsidRPr="008803E2">
        <w:rPr>
          <w:sz w:val="22"/>
        </w:rPr>
        <w:t xml:space="preserve"> du. </w:t>
      </w:r>
    </w:p>
    <w:p w:rsidR="00C96539" w:rsidRPr="008803E2" w:rsidRDefault="00EC5238" w:rsidP="00EC5238">
      <w:pPr>
        <w:spacing w:after="11"/>
        <w:ind w:left="226"/>
        <w:rPr>
          <w:sz w:val="22"/>
        </w:rPr>
      </w:pPr>
      <w:proofErr w:type="spellStart"/>
      <w:r w:rsidRPr="008803E2">
        <w:rPr>
          <w:sz w:val="22"/>
        </w:rPr>
        <w:t>Administrazio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Publikoen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Administrazio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Prozedura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Erkideari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buruzko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urriaren</w:t>
      </w:r>
      <w:proofErr w:type="spellEnd"/>
      <w:r w:rsidRPr="008803E2">
        <w:rPr>
          <w:sz w:val="22"/>
        </w:rPr>
        <w:t xml:space="preserve"> 1eko 39/2015 </w:t>
      </w:r>
      <w:proofErr w:type="spellStart"/>
      <w:r w:rsidRPr="008803E2">
        <w:rPr>
          <w:sz w:val="22"/>
        </w:rPr>
        <w:t>Legearen</w:t>
      </w:r>
      <w:proofErr w:type="spellEnd"/>
      <w:r w:rsidRPr="008803E2">
        <w:rPr>
          <w:sz w:val="22"/>
        </w:rPr>
        <w:t xml:space="preserve"> 133. </w:t>
      </w:r>
      <w:proofErr w:type="spellStart"/>
      <w:r w:rsidRPr="008803E2">
        <w:rPr>
          <w:sz w:val="22"/>
        </w:rPr>
        <w:t>artikuluan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ezarritakoari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jarraiki</w:t>
      </w:r>
      <w:proofErr w:type="spellEnd"/>
      <w:r w:rsidRPr="008803E2">
        <w:rPr>
          <w:sz w:val="22"/>
        </w:rPr>
        <w:t xml:space="preserve">, </w:t>
      </w:r>
      <w:proofErr w:type="spellStart"/>
      <w:r w:rsidR="0093770C" w:rsidRPr="008803E2">
        <w:rPr>
          <w:sz w:val="22"/>
        </w:rPr>
        <w:t>legearen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edo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erregelamenduaren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proiektua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edo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aurreproiektua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prestatu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baino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lehen</w:t>
      </w:r>
      <w:proofErr w:type="spellEnd"/>
      <w:r w:rsidR="0093770C" w:rsidRPr="008803E2">
        <w:rPr>
          <w:sz w:val="22"/>
        </w:rPr>
        <w:t xml:space="preserve">, </w:t>
      </w:r>
      <w:proofErr w:type="spellStart"/>
      <w:r w:rsidR="0093770C" w:rsidRPr="008803E2">
        <w:rPr>
          <w:sz w:val="22"/>
        </w:rPr>
        <w:t>kontsulta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publiko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bat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bideratuko</w:t>
      </w:r>
      <w:proofErr w:type="spellEnd"/>
      <w:r w:rsidR="0093770C" w:rsidRPr="008803E2">
        <w:rPr>
          <w:sz w:val="22"/>
        </w:rPr>
        <w:t xml:space="preserve"> da </w:t>
      </w:r>
      <w:proofErr w:type="spellStart"/>
      <w:r w:rsidR="0093770C" w:rsidRPr="008803E2">
        <w:rPr>
          <w:sz w:val="22"/>
        </w:rPr>
        <w:t>administrazio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eskudunaren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webgunearen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bitartez</w:t>
      </w:r>
      <w:proofErr w:type="spellEnd"/>
      <w:r w:rsidR="0093770C" w:rsidRPr="008803E2">
        <w:rPr>
          <w:sz w:val="22"/>
        </w:rPr>
        <w:t xml:space="preserve">, eta </w:t>
      </w:r>
      <w:proofErr w:type="spellStart"/>
      <w:r w:rsidR="0093770C" w:rsidRPr="008803E2">
        <w:rPr>
          <w:sz w:val="22"/>
        </w:rPr>
        <w:t>jasoko</w:t>
      </w:r>
      <w:proofErr w:type="spellEnd"/>
      <w:r w:rsidR="0093770C" w:rsidRPr="008803E2">
        <w:rPr>
          <w:sz w:val="22"/>
        </w:rPr>
        <w:t xml:space="preserve"> da </w:t>
      </w:r>
      <w:proofErr w:type="spellStart"/>
      <w:r w:rsidR="0093770C" w:rsidRPr="008803E2">
        <w:rPr>
          <w:sz w:val="22"/>
        </w:rPr>
        <w:t>zer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iritzi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duten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etorkizuneko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arauak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uki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ditzakeen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subjektuek</w:t>
      </w:r>
      <w:proofErr w:type="spellEnd"/>
      <w:r w:rsidR="0093770C" w:rsidRPr="008803E2">
        <w:rPr>
          <w:sz w:val="22"/>
        </w:rPr>
        <w:t xml:space="preserve"> eta </w:t>
      </w:r>
      <w:proofErr w:type="spellStart"/>
      <w:r w:rsidR="0093770C" w:rsidRPr="008803E2">
        <w:rPr>
          <w:sz w:val="22"/>
        </w:rPr>
        <w:t>antolakunderik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ordezkagarrienek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puntu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hauei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buruz</w:t>
      </w:r>
      <w:proofErr w:type="spellEnd"/>
      <w:r w:rsidR="0093770C" w:rsidRPr="008803E2">
        <w:rPr>
          <w:sz w:val="22"/>
        </w:rPr>
        <w:t>:</w:t>
      </w:r>
    </w:p>
    <w:p w:rsidR="0093770C" w:rsidRPr="008803E2" w:rsidRDefault="0093770C" w:rsidP="00EC5238">
      <w:pPr>
        <w:spacing w:after="11"/>
        <w:ind w:left="226"/>
        <w:rPr>
          <w:sz w:val="22"/>
        </w:rPr>
      </w:pPr>
    </w:p>
    <w:p w:rsidR="00C96539" w:rsidRPr="008803E2" w:rsidRDefault="0093770C">
      <w:pPr>
        <w:numPr>
          <w:ilvl w:val="0"/>
          <w:numId w:val="1"/>
        </w:numPr>
        <w:spacing w:after="11"/>
        <w:ind w:hanging="280"/>
        <w:rPr>
          <w:sz w:val="22"/>
        </w:rPr>
      </w:pPr>
      <w:proofErr w:type="spellStart"/>
      <w:r w:rsidRPr="008803E2">
        <w:rPr>
          <w:sz w:val="22"/>
        </w:rPr>
        <w:t>Ekimenaren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bitartez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konpondu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nahi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diren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arazoak</w:t>
      </w:r>
      <w:proofErr w:type="spellEnd"/>
    </w:p>
    <w:p w:rsidR="00C96539" w:rsidRPr="008803E2" w:rsidRDefault="0093770C">
      <w:pPr>
        <w:numPr>
          <w:ilvl w:val="0"/>
          <w:numId w:val="1"/>
        </w:numPr>
        <w:spacing w:after="11"/>
        <w:ind w:hanging="280"/>
        <w:rPr>
          <w:sz w:val="22"/>
        </w:rPr>
      </w:pPr>
      <w:proofErr w:type="spellStart"/>
      <w:r w:rsidRPr="008803E2">
        <w:rPr>
          <w:sz w:val="22"/>
        </w:rPr>
        <w:t>Arau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hori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onestea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beharrezkoa</w:t>
      </w:r>
      <w:proofErr w:type="spellEnd"/>
      <w:r w:rsidRPr="008803E2">
        <w:rPr>
          <w:sz w:val="22"/>
        </w:rPr>
        <w:t xml:space="preserve"> eta </w:t>
      </w:r>
      <w:proofErr w:type="spellStart"/>
      <w:r w:rsidRPr="008803E2">
        <w:rPr>
          <w:sz w:val="22"/>
        </w:rPr>
        <w:t>egokia</w:t>
      </w:r>
      <w:proofErr w:type="spellEnd"/>
      <w:r w:rsidRPr="008803E2">
        <w:rPr>
          <w:sz w:val="22"/>
        </w:rPr>
        <w:t xml:space="preserve"> den</w:t>
      </w:r>
    </w:p>
    <w:p w:rsidR="00C96539" w:rsidRPr="008803E2" w:rsidRDefault="0093770C">
      <w:pPr>
        <w:numPr>
          <w:ilvl w:val="0"/>
          <w:numId w:val="1"/>
        </w:numPr>
        <w:spacing w:after="11"/>
        <w:ind w:hanging="280"/>
        <w:rPr>
          <w:sz w:val="22"/>
        </w:rPr>
      </w:pPr>
      <w:proofErr w:type="spellStart"/>
      <w:r w:rsidRPr="008803E2">
        <w:rPr>
          <w:sz w:val="22"/>
        </w:rPr>
        <w:t>Arauaren</w:t>
      </w:r>
      <w:proofErr w:type="spellEnd"/>
      <w:r w:rsidRPr="008803E2">
        <w:rPr>
          <w:sz w:val="22"/>
        </w:rPr>
        <w:t xml:space="preserve"> </w:t>
      </w:r>
      <w:proofErr w:type="spellStart"/>
      <w:r w:rsidRPr="008803E2">
        <w:rPr>
          <w:sz w:val="22"/>
        </w:rPr>
        <w:t>helburuak</w:t>
      </w:r>
      <w:proofErr w:type="spellEnd"/>
    </w:p>
    <w:p w:rsidR="00C96539" w:rsidRPr="008803E2" w:rsidRDefault="004F0B19">
      <w:pPr>
        <w:numPr>
          <w:ilvl w:val="0"/>
          <w:numId w:val="1"/>
        </w:numPr>
        <w:ind w:hanging="280"/>
        <w:rPr>
          <w:sz w:val="22"/>
        </w:rPr>
      </w:pPr>
      <w:r w:rsidRPr="008803E2">
        <w:rPr>
          <w:noProof/>
          <w:sz w:val="22"/>
        </w:rPr>
        <w:drawing>
          <wp:anchor distT="0" distB="0" distL="114300" distR="114300" simplePos="0" relativeHeight="251655168" behindDoc="0" locked="0" layoutInCell="1" allowOverlap="0" wp14:anchorId="46477E04" wp14:editId="3FBA3D30">
            <wp:simplePos x="0" y="0"/>
            <wp:positionH relativeFrom="page">
              <wp:posOffset>1934846</wp:posOffset>
            </wp:positionH>
            <wp:positionV relativeFrom="page">
              <wp:posOffset>457196</wp:posOffset>
            </wp:positionV>
            <wp:extent cx="3781440" cy="46672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70C" w:rsidRPr="008803E2">
        <w:rPr>
          <w:sz w:val="22"/>
        </w:rPr>
        <w:t xml:space="preserve">Izan </w:t>
      </w:r>
      <w:proofErr w:type="spellStart"/>
      <w:r w:rsidR="0093770C" w:rsidRPr="008803E2">
        <w:rPr>
          <w:sz w:val="22"/>
        </w:rPr>
        <w:t>litezkeen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bestelako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aukera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erregulatzaile</w:t>
      </w:r>
      <w:proofErr w:type="spellEnd"/>
      <w:r w:rsidR="0093770C" w:rsidRPr="008803E2">
        <w:rPr>
          <w:sz w:val="22"/>
        </w:rPr>
        <w:t xml:space="preserve"> eta </w:t>
      </w:r>
      <w:proofErr w:type="spellStart"/>
      <w:r w:rsidR="0093770C" w:rsidRPr="008803E2">
        <w:rPr>
          <w:sz w:val="22"/>
        </w:rPr>
        <w:t>ez</w:t>
      </w:r>
      <w:proofErr w:type="spellEnd"/>
      <w:r w:rsidR="0093770C" w:rsidRPr="008803E2">
        <w:rPr>
          <w:sz w:val="22"/>
        </w:rPr>
        <w:t xml:space="preserve"> </w:t>
      </w:r>
      <w:proofErr w:type="spellStart"/>
      <w:r w:rsidR="0093770C" w:rsidRPr="008803E2">
        <w:rPr>
          <w:sz w:val="22"/>
        </w:rPr>
        <w:t>erregulatzaileak</w:t>
      </w:r>
      <w:proofErr w:type="spellEnd"/>
    </w:p>
    <w:p w:rsidR="00C96539" w:rsidRPr="008803E2" w:rsidRDefault="004B404C">
      <w:pPr>
        <w:ind w:left="226"/>
        <w:rPr>
          <w:sz w:val="22"/>
        </w:rPr>
      </w:pPr>
      <w:r w:rsidRPr="008803E2">
        <w:rPr>
          <w:sz w:val="22"/>
          <w:lang w:val="eu-ES"/>
        </w:rPr>
        <w:t>Jaurlaritzaren Kontseiluak, 2017ko abenduaren 12ko batzarrean, onartu egin zuen xedapen orokorrak egiteko prozedura aplikatzeari buruzko jarraibideak onartzen dituen erabakia</w:t>
      </w:r>
      <w:r w:rsidR="00AA78DF" w:rsidRPr="008803E2">
        <w:rPr>
          <w:sz w:val="22"/>
          <w:lang w:val="eu-ES"/>
        </w:rPr>
        <w:t xml:space="preserve">, zeinaren arabera zehaztu zen xedapen orokorraren izapidetzea sustatzen duen zuzendaritza-zentro edo -organoak, aurretiazko kontsultaren izapidea betetzeko, iragarkia jarri ahal izango duela Euskadiko Autonomia Erkidegoko Administrazio Publikoaren egoitza elektronikoko iragarki-taulan. </w:t>
      </w:r>
      <w:r w:rsidR="004F0B19" w:rsidRPr="008803E2">
        <w:rPr>
          <w:sz w:val="22"/>
        </w:rPr>
        <w:t xml:space="preserve"> </w:t>
      </w:r>
    </w:p>
    <w:p w:rsidR="00C96539" w:rsidRPr="008803E2" w:rsidRDefault="00AA78DF">
      <w:pPr>
        <w:ind w:left="226"/>
        <w:rPr>
          <w:sz w:val="22"/>
        </w:rPr>
      </w:pPr>
      <w:proofErr w:type="spellStart"/>
      <w:r w:rsidRPr="008803E2">
        <w:rPr>
          <w:sz w:val="22"/>
        </w:rPr>
        <w:t>Beraz</w:t>
      </w:r>
      <w:proofErr w:type="spellEnd"/>
      <w:r w:rsidRPr="008803E2">
        <w:rPr>
          <w:sz w:val="22"/>
        </w:rPr>
        <w:t xml:space="preserve">, </w:t>
      </w:r>
      <w:proofErr w:type="spellStart"/>
      <w:r w:rsidRPr="008803E2">
        <w:rPr>
          <w:sz w:val="22"/>
        </w:rPr>
        <w:t>a</w:t>
      </w:r>
      <w:r w:rsidR="000E7D65" w:rsidRPr="008803E2">
        <w:rPr>
          <w:sz w:val="22"/>
        </w:rPr>
        <w:t>zaldutakoa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betetze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aldera</w:t>
      </w:r>
      <w:proofErr w:type="spellEnd"/>
      <w:r w:rsidR="000E7D65" w:rsidRPr="008803E2">
        <w:rPr>
          <w:sz w:val="22"/>
        </w:rPr>
        <w:t xml:space="preserve">, eta </w:t>
      </w:r>
      <w:proofErr w:type="spellStart"/>
      <w:r w:rsidR="000E7D65" w:rsidRPr="008803E2">
        <w:rPr>
          <w:sz w:val="22"/>
        </w:rPr>
        <w:t>lege</w:t>
      </w:r>
      <w:r w:rsidR="000E7D65" w:rsidRPr="008803E2">
        <w:rPr>
          <w:sz w:val="22"/>
        </w:rPr>
        <w:noBreakHyphen/>
        <w:t>aurreproiektuaren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izapideketarekin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hasi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baino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lehen</w:t>
      </w:r>
      <w:proofErr w:type="spellEnd"/>
      <w:r w:rsidR="000E7D65" w:rsidRPr="008803E2">
        <w:rPr>
          <w:sz w:val="22"/>
        </w:rPr>
        <w:t xml:space="preserve">, </w:t>
      </w:r>
      <w:proofErr w:type="spellStart"/>
      <w:r w:rsidR="000E7D65" w:rsidRPr="008803E2">
        <w:rPr>
          <w:sz w:val="22"/>
        </w:rPr>
        <w:t>honakoaren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bidez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herritarrak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dei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egiten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ditugu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Eusko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Jaurlaritzaren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Egoitza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Elektronikoaren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iragarki-oholean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argitaratuko</w:t>
      </w:r>
      <w:proofErr w:type="spellEnd"/>
      <w:r w:rsidR="000E7D65" w:rsidRPr="008803E2">
        <w:rPr>
          <w:sz w:val="22"/>
        </w:rPr>
        <w:t xml:space="preserve"> den </w:t>
      </w:r>
      <w:proofErr w:type="spellStart"/>
      <w:r w:rsidR="000E7D65" w:rsidRPr="008803E2">
        <w:rPr>
          <w:sz w:val="22"/>
        </w:rPr>
        <w:t>eranskinean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jasotako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informazioari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buruzko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iritzia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eman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dezaten</w:t>
      </w:r>
      <w:proofErr w:type="spellEnd"/>
      <w:r w:rsidR="000E7D65" w:rsidRPr="008803E2">
        <w:rPr>
          <w:sz w:val="22"/>
        </w:rPr>
        <w:t xml:space="preserve">. </w:t>
      </w:r>
    </w:p>
    <w:p w:rsidR="00C96539" w:rsidRPr="008803E2" w:rsidRDefault="004F0B19">
      <w:pPr>
        <w:ind w:left="226"/>
        <w:rPr>
          <w:sz w:val="22"/>
        </w:rPr>
      </w:pPr>
      <w:r w:rsidRPr="008803E2">
        <w:rPr>
          <w:sz w:val="22"/>
        </w:rPr>
        <w:t xml:space="preserve">Vitoria-Gasteiz, </w:t>
      </w:r>
      <w:proofErr w:type="spellStart"/>
      <w:r w:rsidR="000E7D65" w:rsidRPr="008803E2">
        <w:rPr>
          <w:sz w:val="22"/>
        </w:rPr>
        <w:t>sinaduraren</w:t>
      </w:r>
      <w:proofErr w:type="spellEnd"/>
      <w:r w:rsidR="000E7D65" w:rsidRPr="008803E2">
        <w:rPr>
          <w:sz w:val="22"/>
        </w:rPr>
        <w:t xml:space="preserve"> datan</w:t>
      </w:r>
      <w:r w:rsidRPr="008803E2">
        <w:rPr>
          <w:sz w:val="22"/>
        </w:rPr>
        <w:t>.</w:t>
      </w:r>
    </w:p>
    <w:p w:rsidR="00C96539" w:rsidRPr="008803E2" w:rsidRDefault="00083943">
      <w:pPr>
        <w:spacing w:after="480" w:line="265" w:lineRule="auto"/>
        <w:jc w:val="center"/>
        <w:rPr>
          <w:b/>
          <w:sz w:val="22"/>
        </w:rPr>
      </w:pPr>
      <w:proofErr w:type="spellStart"/>
      <w:r w:rsidRPr="008803E2">
        <w:rPr>
          <w:b/>
          <w:sz w:val="22"/>
        </w:rPr>
        <w:t>Araubide</w:t>
      </w:r>
      <w:proofErr w:type="spellEnd"/>
      <w:r w:rsidRPr="008803E2">
        <w:rPr>
          <w:b/>
          <w:sz w:val="22"/>
        </w:rPr>
        <w:t xml:space="preserve"> </w:t>
      </w:r>
      <w:proofErr w:type="spellStart"/>
      <w:r w:rsidRPr="008803E2">
        <w:rPr>
          <w:b/>
          <w:sz w:val="22"/>
        </w:rPr>
        <w:t>Juridikoaren</w:t>
      </w:r>
      <w:proofErr w:type="spellEnd"/>
      <w:r w:rsidRPr="008803E2">
        <w:rPr>
          <w:b/>
          <w:sz w:val="22"/>
        </w:rPr>
        <w:t xml:space="preserve">, </w:t>
      </w:r>
      <w:proofErr w:type="spellStart"/>
      <w:r w:rsidRPr="008803E2">
        <w:rPr>
          <w:b/>
          <w:sz w:val="22"/>
        </w:rPr>
        <w:t>Zerbitzuen</w:t>
      </w:r>
      <w:proofErr w:type="spellEnd"/>
      <w:r w:rsidRPr="008803E2">
        <w:rPr>
          <w:b/>
          <w:sz w:val="22"/>
        </w:rPr>
        <w:t xml:space="preserve"> eta Hauteskunde </w:t>
      </w:r>
      <w:proofErr w:type="spellStart"/>
      <w:r w:rsidRPr="008803E2">
        <w:rPr>
          <w:b/>
          <w:sz w:val="22"/>
        </w:rPr>
        <w:t>Prozesuen</w:t>
      </w:r>
      <w:proofErr w:type="spellEnd"/>
      <w:r w:rsidRPr="008803E2">
        <w:rPr>
          <w:b/>
          <w:sz w:val="22"/>
        </w:rPr>
        <w:t xml:space="preserve"> </w:t>
      </w:r>
      <w:proofErr w:type="spellStart"/>
      <w:r w:rsidRPr="008803E2">
        <w:rPr>
          <w:b/>
          <w:sz w:val="22"/>
        </w:rPr>
        <w:t>zuzendaria</w:t>
      </w:r>
      <w:proofErr w:type="spellEnd"/>
    </w:p>
    <w:p w:rsidR="00083943" w:rsidRPr="008803E2" w:rsidRDefault="00083943">
      <w:pPr>
        <w:spacing w:after="185" w:line="259" w:lineRule="auto"/>
        <w:ind w:left="231" w:firstLine="0"/>
        <w:jc w:val="center"/>
        <w:rPr>
          <w:sz w:val="22"/>
        </w:rPr>
      </w:pPr>
      <w:r w:rsidRPr="008803E2">
        <w:rPr>
          <w:b/>
          <w:sz w:val="22"/>
        </w:rPr>
        <w:t>Egoitz Laburu Rodríguez</w:t>
      </w:r>
    </w:p>
    <w:p w:rsidR="00C96539" w:rsidRPr="008803E2" w:rsidRDefault="00083943">
      <w:pPr>
        <w:spacing w:after="185" w:line="259" w:lineRule="auto"/>
        <w:ind w:left="231" w:firstLine="0"/>
        <w:jc w:val="center"/>
        <w:rPr>
          <w:sz w:val="22"/>
        </w:rPr>
      </w:pPr>
      <w:r w:rsidRPr="008803E2">
        <w:rPr>
          <w:sz w:val="22"/>
        </w:rPr>
        <w:t xml:space="preserve"> </w:t>
      </w:r>
      <w:r w:rsidR="004F0B19" w:rsidRPr="008803E2">
        <w:rPr>
          <w:sz w:val="22"/>
        </w:rPr>
        <w:t>(</w:t>
      </w:r>
      <w:proofErr w:type="spellStart"/>
      <w:r w:rsidR="000E7D65" w:rsidRPr="008803E2">
        <w:rPr>
          <w:sz w:val="22"/>
        </w:rPr>
        <w:t>Izenpe</w:t>
      </w:r>
      <w:proofErr w:type="spellEnd"/>
      <w:r w:rsidR="000E7D65" w:rsidRPr="008803E2">
        <w:rPr>
          <w:sz w:val="22"/>
        </w:rPr>
        <w:t xml:space="preserve"> </w:t>
      </w:r>
      <w:proofErr w:type="spellStart"/>
      <w:r w:rsidR="000E7D65" w:rsidRPr="008803E2">
        <w:rPr>
          <w:sz w:val="22"/>
        </w:rPr>
        <w:t>elektronikoa</w:t>
      </w:r>
      <w:proofErr w:type="spellEnd"/>
      <w:r w:rsidR="004F0B19" w:rsidRPr="008803E2">
        <w:rPr>
          <w:sz w:val="22"/>
        </w:rPr>
        <w:t>)</w:t>
      </w:r>
    </w:p>
    <w:p w:rsidR="00C96539" w:rsidRPr="008803E2" w:rsidRDefault="004F0B19">
      <w:pPr>
        <w:tabs>
          <w:tab w:val="center" w:pos="2319"/>
          <w:tab w:val="center" w:pos="6626"/>
        </w:tabs>
        <w:spacing w:after="740" w:line="265" w:lineRule="auto"/>
        <w:ind w:left="0" w:firstLine="0"/>
        <w:jc w:val="left"/>
        <w:rPr>
          <w:sz w:val="22"/>
        </w:rPr>
      </w:pPr>
      <w:r w:rsidRPr="008803E2">
        <w:rPr>
          <w:rFonts w:eastAsia="Calibri"/>
          <w:sz w:val="22"/>
        </w:rPr>
        <w:tab/>
      </w:r>
    </w:p>
    <w:p w:rsidR="001A00C3" w:rsidRPr="008803E2" w:rsidRDefault="001A00C3">
      <w:pPr>
        <w:spacing w:after="292" w:line="250" w:lineRule="auto"/>
        <w:ind w:left="226" w:right="-15"/>
        <w:rPr>
          <w:b/>
          <w:sz w:val="22"/>
        </w:rPr>
      </w:pPr>
    </w:p>
    <w:p w:rsidR="008803E2" w:rsidRDefault="008803E2" w:rsidP="004C52BC">
      <w:pPr>
        <w:spacing w:after="404" w:line="250" w:lineRule="auto"/>
        <w:ind w:left="226" w:right="-15"/>
        <w:rPr>
          <w:b/>
          <w:sz w:val="22"/>
        </w:rPr>
      </w:pPr>
    </w:p>
    <w:p w:rsidR="008803E2" w:rsidRDefault="008803E2" w:rsidP="004C52BC">
      <w:pPr>
        <w:spacing w:after="404" w:line="250" w:lineRule="auto"/>
        <w:ind w:left="226" w:right="-15"/>
        <w:rPr>
          <w:b/>
          <w:sz w:val="22"/>
        </w:rPr>
      </w:pPr>
    </w:p>
    <w:p w:rsidR="004C52BC" w:rsidRPr="008803E2" w:rsidRDefault="004F0B19" w:rsidP="004C52BC">
      <w:pPr>
        <w:spacing w:after="404" w:line="250" w:lineRule="auto"/>
        <w:ind w:left="226" w:right="-15"/>
        <w:rPr>
          <w:sz w:val="22"/>
        </w:rPr>
      </w:pPr>
      <w:r w:rsidRPr="008803E2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66CA3D31" wp14:editId="779A6A12">
            <wp:simplePos x="0" y="0"/>
            <wp:positionH relativeFrom="page">
              <wp:posOffset>1934846</wp:posOffset>
            </wp:positionH>
            <wp:positionV relativeFrom="page">
              <wp:posOffset>457196</wp:posOffset>
            </wp:positionV>
            <wp:extent cx="3781440" cy="466725"/>
            <wp:effectExtent l="0" t="0" r="0" b="0"/>
            <wp:wrapTopAndBottom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A12" w:rsidRPr="008803E2">
        <w:rPr>
          <w:b/>
          <w:sz w:val="22"/>
        </w:rPr>
        <w:t xml:space="preserve">AURRETIAZKO JENDAURREKO KONTSULTA, </w:t>
      </w:r>
      <w:r w:rsidR="004C52BC" w:rsidRPr="008803E2">
        <w:rPr>
          <w:b/>
          <w:sz w:val="22"/>
        </w:rPr>
        <w:t>DATU PERTSONALAK BABESTEKO LEGE</w:t>
      </w:r>
      <w:r w:rsidR="004C52BC" w:rsidRPr="008803E2">
        <w:rPr>
          <w:b/>
          <w:sz w:val="22"/>
        </w:rPr>
        <w:noBreakHyphen/>
        <w:t>AURREPROIEKTUARI BURUZKOA.</w:t>
      </w:r>
    </w:p>
    <w:p w:rsidR="00C96539" w:rsidRPr="008803E2" w:rsidRDefault="00C96539">
      <w:pPr>
        <w:spacing w:after="292" w:line="250" w:lineRule="auto"/>
        <w:ind w:left="226" w:right="-15"/>
        <w:rPr>
          <w:sz w:val="22"/>
        </w:rPr>
      </w:pPr>
    </w:p>
    <w:tbl>
      <w:tblPr>
        <w:tblStyle w:val="TableGrid"/>
        <w:tblW w:w="8645" w:type="dxa"/>
        <w:tblInd w:w="123" w:type="dxa"/>
        <w:tblCellMar>
          <w:top w:w="86" w:type="dxa"/>
          <w:left w:w="108" w:type="dxa"/>
          <w:bottom w:w="26" w:type="dxa"/>
          <w:right w:w="47" w:type="dxa"/>
        </w:tblCellMar>
        <w:tblLook w:val="04A0" w:firstRow="1" w:lastRow="0" w:firstColumn="1" w:lastColumn="0" w:noHBand="0" w:noVBand="1"/>
      </w:tblPr>
      <w:tblGrid>
        <w:gridCol w:w="2660"/>
        <w:gridCol w:w="5985"/>
      </w:tblGrid>
      <w:tr w:rsidR="00E2776F" w:rsidRPr="008803E2" w:rsidTr="00287120">
        <w:trPr>
          <w:trHeight w:val="2823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D7E" w:rsidRDefault="00556D7E" w:rsidP="00981A12">
            <w:pPr>
              <w:spacing w:after="0" w:line="259" w:lineRule="auto"/>
              <w:ind w:left="0" w:firstLine="0"/>
              <w:rPr>
                <w:b/>
                <w:color w:val="00003A"/>
                <w:sz w:val="22"/>
              </w:rPr>
            </w:pPr>
          </w:p>
          <w:p w:rsidR="00556D7E" w:rsidRDefault="00556D7E" w:rsidP="00981A12">
            <w:pPr>
              <w:spacing w:after="0" w:line="259" w:lineRule="auto"/>
              <w:ind w:left="0" w:firstLine="0"/>
              <w:rPr>
                <w:b/>
                <w:color w:val="00003A"/>
                <w:sz w:val="22"/>
              </w:rPr>
            </w:pPr>
          </w:p>
          <w:p w:rsidR="00556D7E" w:rsidRDefault="00556D7E" w:rsidP="00981A12">
            <w:pPr>
              <w:spacing w:after="0" w:line="259" w:lineRule="auto"/>
              <w:ind w:left="0" w:firstLine="0"/>
              <w:rPr>
                <w:b/>
                <w:color w:val="00003A"/>
                <w:sz w:val="22"/>
              </w:rPr>
            </w:pPr>
          </w:p>
          <w:p w:rsidR="00556D7E" w:rsidRDefault="00556D7E" w:rsidP="00981A12">
            <w:pPr>
              <w:spacing w:after="0" w:line="259" w:lineRule="auto"/>
              <w:ind w:left="0" w:firstLine="0"/>
              <w:rPr>
                <w:b/>
                <w:color w:val="00003A"/>
                <w:sz w:val="22"/>
              </w:rPr>
            </w:pPr>
          </w:p>
          <w:p w:rsidR="00556D7E" w:rsidRDefault="00556D7E" w:rsidP="00981A12">
            <w:pPr>
              <w:spacing w:after="0" w:line="259" w:lineRule="auto"/>
              <w:ind w:left="0" w:firstLine="0"/>
              <w:rPr>
                <w:b/>
                <w:color w:val="00003A"/>
                <w:sz w:val="22"/>
              </w:rPr>
            </w:pPr>
          </w:p>
          <w:p w:rsidR="00C96539" w:rsidRPr="008803E2" w:rsidRDefault="00981A12" w:rsidP="00981A12">
            <w:pPr>
              <w:spacing w:after="0" w:line="259" w:lineRule="auto"/>
              <w:ind w:left="0" w:firstLine="0"/>
              <w:rPr>
                <w:sz w:val="22"/>
              </w:rPr>
            </w:pPr>
            <w:r w:rsidRPr="008803E2">
              <w:rPr>
                <w:b/>
                <w:color w:val="00003A"/>
                <w:sz w:val="22"/>
              </w:rPr>
              <w:t>E</w:t>
            </w:r>
            <w:r w:rsidR="00E2776F" w:rsidRPr="008803E2">
              <w:rPr>
                <w:b/>
                <w:color w:val="00003A"/>
                <w:sz w:val="22"/>
              </w:rPr>
              <w:t xml:space="preserve">KIMENAREN BITARTEZ </w:t>
            </w:r>
            <w:r w:rsidRPr="008803E2">
              <w:rPr>
                <w:b/>
                <w:color w:val="00003A"/>
                <w:sz w:val="22"/>
              </w:rPr>
              <w:t>KONPONDU NAHI DIREN ARAZOAK</w:t>
            </w:r>
          </w:p>
        </w:tc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6539" w:rsidRPr="008803E2" w:rsidRDefault="004C52BC" w:rsidP="00556D7E">
            <w:pPr>
              <w:ind w:left="45"/>
              <w:rPr>
                <w:sz w:val="22"/>
              </w:rPr>
            </w:pPr>
            <w:proofErr w:type="spellStart"/>
            <w:r w:rsidRPr="008803E2">
              <w:rPr>
                <w:sz w:val="22"/>
              </w:rPr>
              <w:t>Lege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honen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xedea</w:t>
            </w:r>
            <w:proofErr w:type="spellEnd"/>
            <w:r w:rsidRPr="008803E2">
              <w:rPr>
                <w:sz w:val="22"/>
              </w:rPr>
              <w:t xml:space="preserve"> da </w:t>
            </w:r>
            <w:proofErr w:type="spellStart"/>
            <w:r w:rsidRPr="008803E2">
              <w:rPr>
                <w:sz w:val="22"/>
              </w:rPr>
              <w:t>datuen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babesaren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arloan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Euska</w:t>
            </w:r>
            <w:r w:rsidR="00556D7E">
              <w:rPr>
                <w:sz w:val="22"/>
              </w:rPr>
              <w:t>diko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Autonomia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Erkidegoan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indarrean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dagoen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araudia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="00556D7E">
              <w:rPr>
                <w:sz w:val="22"/>
              </w:rPr>
              <w:t>honako</w:t>
            </w:r>
            <w:proofErr w:type="spellEnd"/>
            <w:r w:rsidR="00556D7E">
              <w:rPr>
                <w:sz w:val="22"/>
              </w:rPr>
              <w:t xml:space="preserve"> </w:t>
            </w:r>
            <w:proofErr w:type="spellStart"/>
            <w:r w:rsidR="00556D7E">
              <w:rPr>
                <w:sz w:val="22"/>
              </w:rPr>
              <w:t>hauetara</w:t>
            </w:r>
            <w:proofErr w:type="spellEnd"/>
            <w:r w:rsidR="00556D7E">
              <w:rPr>
                <w:sz w:val="22"/>
              </w:rPr>
              <w:t xml:space="preserve"> </w:t>
            </w:r>
            <w:proofErr w:type="spellStart"/>
            <w:r w:rsidR="00556D7E">
              <w:rPr>
                <w:sz w:val="22"/>
              </w:rPr>
              <w:t>egokitzea</w:t>
            </w:r>
            <w:proofErr w:type="spellEnd"/>
            <w:r w:rsidR="00556D7E">
              <w:rPr>
                <w:sz w:val="22"/>
              </w:rPr>
              <w:t xml:space="preserve">: </w:t>
            </w:r>
            <w:proofErr w:type="spellStart"/>
            <w:r w:rsidRPr="008803E2">
              <w:rPr>
                <w:sz w:val="22"/>
              </w:rPr>
              <w:t>Europako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Parlamentuaren</w:t>
            </w:r>
            <w:proofErr w:type="spellEnd"/>
            <w:r w:rsidRPr="008803E2">
              <w:rPr>
                <w:sz w:val="22"/>
              </w:rPr>
              <w:t xml:space="preserve"> eta </w:t>
            </w:r>
            <w:proofErr w:type="spellStart"/>
            <w:r w:rsidRPr="008803E2">
              <w:rPr>
                <w:sz w:val="22"/>
              </w:rPr>
              <w:t>Kontseiluaren</w:t>
            </w:r>
            <w:proofErr w:type="spellEnd"/>
            <w:r w:rsidRPr="008803E2">
              <w:rPr>
                <w:sz w:val="22"/>
              </w:rPr>
              <w:t xml:space="preserve"> 2016ko </w:t>
            </w:r>
            <w:proofErr w:type="spellStart"/>
            <w:r w:rsidRPr="008803E2">
              <w:rPr>
                <w:sz w:val="22"/>
              </w:rPr>
              <w:t>apirilaren</w:t>
            </w:r>
            <w:proofErr w:type="spellEnd"/>
            <w:r w:rsidRPr="008803E2">
              <w:rPr>
                <w:sz w:val="22"/>
              </w:rPr>
              <w:t xml:space="preserve"> 27ko </w:t>
            </w:r>
            <w:r w:rsidR="00556D7E">
              <w:rPr>
                <w:sz w:val="22"/>
              </w:rPr>
              <w:t xml:space="preserve">(EB) 2016/679 </w:t>
            </w:r>
            <w:proofErr w:type="spellStart"/>
            <w:r w:rsidR="00556D7E">
              <w:rPr>
                <w:sz w:val="22"/>
              </w:rPr>
              <w:t>Erregelamendura</w:t>
            </w:r>
            <w:proofErr w:type="spellEnd"/>
            <w:r w:rsidR="00556D7E">
              <w:rPr>
                <w:sz w:val="22"/>
              </w:rPr>
              <w:t xml:space="preserve"> (</w:t>
            </w:r>
            <w:proofErr w:type="spellStart"/>
            <w:r w:rsidR="00556D7E">
              <w:rPr>
                <w:sz w:val="22"/>
              </w:rPr>
              <w:t>a</w:t>
            </w:r>
            <w:r w:rsidRPr="008803E2">
              <w:rPr>
                <w:sz w:val="22"/>
              </w:rPr>
              <w:t>urrerantzean</w:t>
            </w:r>
            <w:proofErr w:type="spellEnd"/>
            <w:r w:rsidRPr="008803E2">
              <w:rPr>
                <w:sz w:val="22"/>
              </w:rPr>
              <w:t xml:space="preserve">, DBEO), </w:t>
            </w:r>
            <w:proofErr w:type="spellStart"/>
            <w:r w:rsidRPr="008803E2">
              <w:rPr>
                <w:sz w:val="22"/>
              </w:rPr>
              <w:t>datu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pertsonalen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tratamenduari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dagokionez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pertsona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fisikoen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babesari</w:t>
            </w:r>
            <w:proofErr w:type="spellEnd"/>
            <w:r w:rsidRPr="008803E2">
              <w:rPr>
                <w:sz w:val="22"/>
              </w:rPr>
              <w:t xml:space="preserve"> eta </w:t>
            </w:r>
            <w:proofErr w:type="spellStart"/>
            <w:r w:rsidRPr="008803E2">
              <w:rPr>
                <w:sz w:val="22"/>
              </w:rPr>
              <w:t>datu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horien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zirkulazio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askeari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bu</w:t>
            </w:r>
            <w:r w:rsidR="00556D7E">
              <w:rPr>
                <w:sz w:val="22"/>
              </w:rPr>
              <w:t>ruzko</w:t>
            </w:r>
            <w:proofErr w:type="spellEnd"/>
            <w:r w:rsidR="00556D7E">
              <w:rPr>
                <w:sz w:val="22"/>
              </w:rPr>
              <w:t xml:space="preserve"> </w:t>
            </w:r>
            <w:proofErr w:type="spellStart"/>
            <w:r w:rsidR="00556D7E">
              <w:rPr>
                <w:sz w:val="22"/>
              </w:rPr>
              <w:t>arauak</w:t>
            </w:r>
            <w:proofErr w:type="spellEnd"/>
            <w:r w:rsidR="00556D7E">
              <w:rPr>
                <w:sz w:val="22"/>
              </w:rPr>
              <w:t xml:space="preserve"> </w:t>
            </w:r>
            <w:proofErr w:type="spellStart"/>
            <w:r w:rsidR="00556D7E">
              <w:rPr>
                <w:sz w:val="22"/>
              </w:rPr>
              <w:t>ezartzen</w:t>
            </w:r>
            <w:proofErr w:type="spellEnd"/>
            <w:r w:rsidR="00556D7E">
              <w:rPr>
                <w:sz w:val="22"/>
              </w:rPr>
              <w:t xml:space="preserve"> </w:t>
            </w:r>
            <w:proofErr w:type="spellStart"/>
            <w:r w:rsidR="00556D7E">
              <w:rPr>
                <w:sz w:val="22"/>
              </w:rPr>
              <w:t>dituenera</w:t>
            </w:r>
            <w:proofErr w:type="spellEnd"/>
            <w:r w:rsidR="00556D7E">
              <w:rPr>
                <w:sz w:val="22"/>
              </w:rPr>
              <w:t>;</w:t>
            </w:r>
            <w:r w:rsidRPr="008803E2">
              <w:rPr>
                <w:sz w:val="22"/>
              </w:rPr>
              <w:t xml:space="preserve"> eta </w:t>
            </w:r>
            <w:proofErr w:type="spellStart"/>
            <w:r w:rsidRPr="008803E2">
              <w:rPr>
                <w:sz w:val="22"/>
              </w:rPr>
              <w:t>abenduaren</w:t>
            </w:r>
            <w:proofErr w:type="spellEnd"/>
            <w:r w:rsidRPr="008803E2">
              <w:rPr>
                <w:sz w:val="22"/>
              </w:rPr>
              <w:t xml:space="preserve"> 5eko 3/2018 </w:t>
            </w:r>
            <w:proofErr w:type="spellStart"/>
            <w:r w:rsidRPr="008803E2">
              <w:rPr>
                <w:sz w:val="22"/>
              </w:rPr>
              <w:t>Lege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Organikora</w:t>
            </w:r>
            <w:proofErr w:type="spellEnd"/>
            <w:r w:rsidR="00556D7E">
              <w:rPr>
                <w:sz w:val="22"/>
              </w:rPr>
              <w:t>,</w:t>
            </w:r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Datu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Pertsonalak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Babesteko</w:t>
            </w:r>
            <w:proofErr w:type="spellEnd"/>
            <w:r w:rsidRPr="008803E2">
              <w:rPr>
                <w:sz w:val="22"/>
              </w:rPr>
              <w:t xml:space="preserve"> eta </w:t>
            </w:r>
            <w:proofErr w:type="spellStart"/>
            <w:r w:rsidRPr="008803E2">
              <w:rPr>
                <w:sz w:val="22"/>
              </w:rPr>
              <w:t>Eskubide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Digitalak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Bermatzekora</w:t>
            </w:r>
            <w:proofErr w:type="spellEnd"/>
            <w:r w:rsidR="00556D7E">
              <w:rPr>
                <w:sz w:val="22"/>
              </w:rPr>
              <w:t xml:space="preserve"> </w:t>
            </w:r>
            <w:r w:rsidRPr="008803E2">
              <w:rPr>
                <w:sz w:val="22"/>
              </w:rPr>
              <w:t>(</w:t>
            </w:r>
            <w:proofErr w:type="spellStart"/>
            <w:r w:rsidRPr="008803E2">
              <w:rPr>
                <w:sz w:val="22"/>
              </w:rPr>
              <w:t>aurrerantzean</w:t>
            </w:r>
            <w:proofErr w:type="spellEnd"/>
            <w:r w:rsidRPr="008803E2">
              <w:rPr>
                <w:sz w:val="22"/>
              </w:rPr>
              <w:t>, DPBEDBLO)</w:t>
            </w:r>
            <w:r w:rsidR="00556D7E">
              <w:rPr>
                <w:sz w:val="22"/>
              </w:rPr>
              <w:t>,</w:t>
            </w:r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baita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haien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xedapenak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osatzea</w:t>
            </w:r>
            <w:proofErr w:type="spellEnd"/>
            <w:r w:rsidRPr="008803E2">
              <w:rPr>
                <w:sz w:val="22"/>
              </w:rPr>
              <w:t xml:space="preserve"> eta </w:t>
            </w:r>
            <w:proofErr w:type="spellStart"/>
            <w:r w:rsidRPr="008803E2">
              <w:rPr>
                <w:sz w:val="22"/>
              </w:rPr>
              <w:t>Datuak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Babesteko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Euskal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Agintaritzaren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araubide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juridikoa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arautzea</w:t>
            </w:r>
            <w:proofErr w:type="spellEnd"/>
            <w:r w:rsidRPr="008803E2">
              <w:rPr>
                <w:sz w:val="22"/>
              </w:rPr>
              <w:t xml:space="preserve"> ere.</w:t>
            </w:r>
          </w:p>
        </w:tc>
      </w:tr>
      <w:tr w:rsidR="00E2776F" w:rsidRPr="008803E2" w:rsidTr="00AB7B14">
        <w:trPr>
          <w:trHeight w:val="2217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D7E" w:rsidRDefault="00556D7E" w:rsidP="00E2776F">
            <w:pPr>
              <w:spacing w:after="0" w:line="259" w:lineRule="auto"/>
              <w:ind w:left="0" w:firstLine="0"/>
              <w:jc w:val="left"/>
              <w:rPr>
                <w:b/>
                <w:color w:val="00003A"/>
                <w:sz w:val="22"/>
              </w:rPr>
            </w:pPr>
          </w:p>
          <w:p w:rsidR="00556D7E" w:rsidRDefault="00556D7E" w:rsidP="00E2776F">
            <w:pPr>
              <w:spacing w:after="0" w:line="259" w:lineRule="auto"/>
              <w:ind w:left="0" w:firstLine="0"/>
              <w:jc w:val="left"/>
              <w:rPr>
                <w:b/>
                <w:color w:val="00003A"/>
                <w:sz w:val="22"/>
              </w:rPr>
            </w:pPr>
          </w:p>
          <w:p w:rsidR="00C96539" w:rsidRPr="008803E2" w:rsidRDefault="00876A91" w:rsidP="00E2776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8803E2">
              <w:rPr>
                <w:b/>
                <w:color w:val="00003A"/>
                <w:sz w:val="22"/>
              </w:rPr>
              <w:t>ARAUA O</w:t>
            </w:r>
            <w:r w:rsidR="00E2776F" w:rsidRPr="008803E2">
              <w:rPr>
                <w:b/>
                <w:color w:val="00003A"/>
                <w:sz w:val="22"/>
              </w:rPr>
              <w:t>NESTEA BEHARREZKOA ETA EGOKIA DEN</w:t>
            </w:r>
          </w:p>
        </w:tc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6539" w:rsidRPr="008803E2" w:rsidRDefault="009F5116" w:rsidP="00556D7E">
            <w:pPr>
              <w:spacing w:after="0" w:line="259" w:lineRule="auto"/>
              <w:ind w:left="0" w:right="61" w:firstLine="0"/>
              <w:rPr>
                <w:sz w:val="22"/>
              </w:rPr>
            </w:pPr>
            <w:proofErr w:type="spellStart"/>
            <w:r w:rsidRPr="008803E2">
              <w:rPr>
                <w:sz w:val="22"/>
              </w:rPr>
              <w:t>Euska</w:t>
            </w:r>
            <w:r w:rsidR="00556D7E">
              <w:rPr>
                <w:sz w:val="22"/>
              </w:rPr>
              <w:t>diko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Autonomia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Erkidegoan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Datuak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Babesteko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Lege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berria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ezartzeko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beharrizanaren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arrazoi</w:t>
            </w:r>
            <w:r w:rsidR="00556D7E">
              <w:rPr>
                <w:sz w:val="22"/>
              </w:rPr>
              <w:t>a</w:t>
            </w:r>
            <w:proofErr w:type="spellEnd"/>
            <w:r w:rsidRPr="008803E2">
              <w:rPr>
                <w:sz w:val="22"/>
              </w:rPr>
              <w:t xml:space="preserve"> da </w:t>
            </w:r>
            <w:proofErr w:type="spellStart"/>
            <w:r w:rsidRPr="008803E2">
              <w:rPr>
                <w:sz w:val="22"/>
              </w:rPr>
              <w:t>gaur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egun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indarrean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dagoen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erakunde</w:t>
            </w:r>
            <w:proofErr w:type="spellEnd"/>
            <w:r w:rsidRPr="008803E2">
              <w:rPr>
                <w:sz w:val="22"/>
              </w:rPr>
              <w:t xml:space="preserve">- eta </w:t>
            </w:r>
            <w:proofErr w:type="spellStart"/>
            <w:r w:rsidRPr="008803E2">
              <w:rPr>
                <w:sz w:val="22"/>
              </w:rPr>
              <w:t>prozedura-arloko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esparrua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egokitu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behar</w:t>
            </w:r>
            <w:proofErr w:type="spellEnd"/>
            <w:r w:rsidRPr="008803E2">
              <w:rPr>
                <w:sz w:val="22"/>
              </w:rPr>
              <w:t xml:space="preserve"> dela DBEO </w:t>
            </w:r>
            <w:proofErr w:type="spellStart"/>
            <w:r w:rsidRPr="008803E2">
              <w:rPr>
                <w:sz w:val="22"/>
              </w:rPr>
              <w:t>onartzearen</w:t>
            </w:r>
            <w:proofErr w:type="spellEnd"/>
            <w:r w:rsidRPr="008803E2">
              <w:rPr>
                <w:sz w:val="22"/>
              </w:rPr>
              <w:t xml:space="preserve"> eta </w:t>
            </w:r>
            <w:proofErr w:type="spellStart"/>
            <w:r w:rsidRPr="008803E2">
              <w:rPr>
                <w:sz w:val="22"/>
              </w:rPr>
              <w:t>bete-betean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aplikatzearen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ondorioz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sortutako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beharrizanetara</w:t>
            </w:r>
            <w:proofErr w:type="spellEnd"/>
            <w:r w:rsidRPr="008803E2">
              <w:rPr>
                <w:sz w:val="22"/>
              </w:rPr>
              <w:t xml:space="preserve">, </w:t>
            </w:r>
            <w:proofErr w:type="spellStart"/>
            <w:r w:rsidRPr="008803E2">
              <w:rPr>
                <w:sz w:val="22"/>
              </w:rPr>
              <w:t>kontuan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hartuta</w:t>
            </w:r>
            <w:proofErr w:type="spellEnd"/>
            <w:r w:rsidRPr="008803E2">
              <w:rPr>
                <w:sz w:val="22"/>
              </w:rPr>
              <w:t xml:space="preserve"> DBEO </w:t>
            </w:r>
            <w:proofErr w:type="spellStart"/>
            <w:r w:rsidRPr="008803E2">
              <w:rPr>
                <w:sz w:val="22"/>
              </w:rPr>
              <w:t>hori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Estatuan</w:t>
            </w:r>
            <w:proofErr w:type="spellEnd"/>
            <w:r w:rsidRPr="008803E2">
              <w:rPr>
                <w:sz w:val="22"/>
              </w:rPr>
              <w:t xml:space="preserve"> DPBEDBLO </w:t>
            </w:r>
            <w:proofErr w:type="spellStart"/>
            <w:r w:rsidRPr="008803E2">
              <w:rPr>
                <w:sz w:val="22"/>
              </w:rPr>
              <w:t>onartuz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osatu</w:t>
            </w:r>
            <w:proofErr w:type="spellEnd"/>
            <w:r w:rsidRPr="008803E2">
              <w:rPr>
                <w:sz w:val="22"/>
              </w:rPr>
              <w:t xml:space="preserve"> dela.</w:t>
            </w:r>
          </w:p>
        </w:tc>
      </w:tr>
      <w:tr w:rsidR="00E2776F" w:rsidRPr="008803E2" w:rsidTr="00BE36E4">
        <w:trPr>
          <w:trHeight w:val="4434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04C" w:rsidRPr="008803E2" w:rsidRDefault="00B7204C" w:rsidP="00876A91">
            <w:pPr>
              <w:spacing w:after="0" w:line="259" w:lineRule="auto"/>
              <w:ind w:left="0" w:firstLine="0"/>
              <w:jc w:val="left"/>
              <w:rPr>
                <w:b/>
                <w:color w:val="00003A"/>
                <w:sz w:val="22"/>
              </w:rPr>
            </w:pPr>
          </w:p>
          <w:p w:rsidR="00B7204C" w:rsidRPr="008803E2" w:rsidRDefault="00B7204C" w:rsidP="00876A91">
            <w:pPr>
              <w:spacing w:after="0" w:line="259" w:lineRule="auto"/>
              <w:ind w:left="0" w:firstLine="0"/>
              <w:jc w:val="left"/>
              <w:rPr>
                <w:b/>
                <w:color w:val="00003A"/>
                <w:sz w:val="22"/>
              </w:rPr>
            </w:pPr>
          </w:p>
          <w:p w:rsidR="00556D7E" w:rsidRDefault="00556D7E" w:rsidP="00876A91">
            <w:pPr>
              <w:spacing w:after="0" w:line="259" w:lineRule="auto"/>
              <w:ind w:left="0" w:firstLine="0"/>
              <w:jc w:val="left"/>
              <w:rPr>
                <w:b/>
                <w:color w:val="00003A"/>
                <w:sz w:val="22"/>
              </w:rPr>
            </w:pPr>
          </w:p>
          <w:p w:rsidR="00556D7E" w:rsidRDefault="00556D7E" w:rsidP="00876A91">
            <w:pPr>
              <w:spacing w:after="0" w:line="259" w:lineRule="auto"/>
              <w:ind w:left="0" w:firstLine="0"/>
              <w:jc w:val="left"/>
              <w:rPr>
                <w:b/>
                <w:color w:val="00003A"/>
                <w:sz w:val="22"/>
              </w:rPr>
            </w:pPr>
          </w:p>
          <w:p w:rsidR="00556D7E" w:rsidRDefault="00556D7E" w:rsidP="00876A91">
            <w:pPr>
              <w:spacing w:after="0" w:line="259" w:lineRule="auto"/>
              <w:ind w:left="0" w:firstLine="0"/>
              <w:jc w:val="left"/>
              <w:rPr>
                <w:b/>
                <w:color w:val="00003A"/>
                <w:sz w:val="22"/>
              </w:rPr>
            </w:pPr>
          </w:p>
          <w:p w:rsidR="00556D7E" w:rsidRDefault="00556D7E" w:rsidP="00876A91">
            <w:pPr>
              <w:spacing w:after="0" w:line="259" w:lineRule="auto"/>
              <w:ind w:left="0" w:firstLine="0"/>
              <w:jc w:val="left"/>
              <w:rPr>
                <w:b/>
                <w:color w:val="00003A"/>
                <w:sz w:val="22"/>
              </w:rPr>
            </w:pPr>
          </w:p>
          <w:p w:rsidR="00556D7E" w:rsidRDefault="00556D7E" w:rsidP="00876A91">
            <w:pPr>
              <w:spacing w:after="0" w:line="259" w:lineRule="auto"/>
              <w:ind w:left="0" w:firstLine="0"/>
              <w:jc w:val="left"/>
              <w:rPr>
                <w:b/>
                <w:color w:val="00003A"/>
                <w:sz w:val="22"/>
              </w:rPr>
            </w:pPr>
          </w:p>
          <w:p w:rsidR="00C96539" w:rsidRPr="008803E2" w:rsidRDefault="00876A91" w:rsidP="00876A9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8803E2">
              <w:rPr>
                <w:b/>
                <w:color w:val="00003A"/>
                <w:sz w:val="22"/>
              </w:rPr>
              <w:t>ARAUAREN HELBURUAK</w:t>
            </w:r>
          </w:p>
        </w:tc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04C" w:rsidRPr="008803E2" w:rsidRDefault="00B7204C" w:rsidP="00B7204C">
            <w:pPr>
              <w:spacing w:after="64" w:line="240" w:lineRule="auto"/>
              <w:ind w:right="62"/>
              <w:rPr>
                <w:sz w:val="22"/>
              </w:rPr>
            </w:pPr>
          </w:p>
          <w:p w:rsidR="00B7204C" w:rsidRDefault="00556D7E" w:rsidP="00B7204C">
            <w:pPr>
              <w:pStyle w:val="Zerrenda-paragrafoa"/>
              <w:numPr>
                <w:ilvl w:val="0"/>
                <w:numId w:val="4"/>
              </w:numPr>
              <w:spacing w:after="64" w:line="240" w:lineRule="auto"/>
              <w:ind w:left="329" w:right="62"/>
              <w:rPr>
                <w:sz w:val="22"/>
              </w:rPr>
            </w:pPr>
            <w:proofErr w:type="spellStart"/>
            <w:r>
              <w:rPr>
                <w:sz w:val="22"/>
              </w:rPr>
              <w:t>Datuen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babesaren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arloan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Euskadiko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Autonomia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Erkidegoan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indarrean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dagoen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araudia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egokitzea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Europako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Parlamentuaren</w:t>
            </w:r>
            <w:proofErr w:type="spellEnd"/>
            <w:r w:rsidR="00B7204C" w:rsidRPr="008803E2">
              <w:rPr>
                <w:sz w:val="22"/>
              </w:rPr>
              <w:t xml:space="preserve"> eta </w:t>
            </w:r>
            <w:proofErr w:type="spellStart"/>
            <w:r w:rsidR="00B7204C" w:rsidRPr="008803E2">
              <w:rPr>
                <w:sz w:val="22"/>
              </w:rPr>
              <w:t>Kontseiluaren</w:t>
            </w:r>
            <w:proofErr w:type="spellEnd"/>
            <w:r w:rsidR="00B7204C" w:rsidRPr="008803E2">
              <w:rPr>
                <w:sz w:val="22"/>
              </w:rPr>
              <w:t xml:space="preserve"> 2016ko </w:t>
            </w:r>
            <w:proofErr w:type="spellStart"/>
            <w:r w:rsidR="00B7204C" w:rsidRPr="008803E2">
              <w:rPr>
                <w:sz w:val="22"/>
              </w:rPr>
              <w:t>apirilaren</w:t>
            </w:r>
            <w:proofErr w:type="spellEnd"/>
            <w:r w:rsidR="00B7204C" w:rsidRPr="008803E2">
              <w:rPr>
                <w:sz w:val="22"/>
              </w:rPr>
              <w:t xml:space="preserve"> 27ko (EB) 2016/679 </w:t>
            </w:r>
            <w:proofErr w:type="spellStart"/>
            <w:r w:rsidR="00B7204C" w:rsidRPr="008803E2">
              <w:rPr>
                <w:sz w:val="22"/>
              </w:rPr>
              <w:t>Erregelamendura</w:t>
            </w:r>
            <w:proofErr w:type="spellEnd"/>
            <w:r w:rsidR="00B7204C" w:rsidRPr="008803E2">
              <w:rPr>
                <w:sz w:val="22"/>
              </w:rPr>
              <w:t>.</w:t>
            </w:r>
          </w:p>
          <w:p w:rsidR="008803E2" w:rsidRPr="008803E2" w:rsidRDefault="008803E2" w:rsidP="008803E2">
            <w:pPr>
              <w:pStyle w:val="Zerrenda-paragrafoa"/>
              <w:spacing w:after="64" w:line="240" w:lineRule="auto"/>
              <w:ind w:left="329" w:right="62" w:firstLine="0"/>
              <w:rPr>
                <w:sz w:val="22"/>
              </w:rPr>
            </w:pPr>
          </w:p>
          <w:p w:rsidR="00B7204C" w:rsidRDefault="00556D7E" w:rsidP="00B7204C">
            <w:pPr>
              <w:pStyle w:val="Zerrenda-paragrafoa"/>
              <w:numPr>
                <w:ilvl w:val="0"/>
                <w:numId w:val="4"/>
              </w:numPr>
              <w:spacing w:after="64" w:line="240" w:lineRule="auto"/>
              <w:ind w:left="329" w:right="62"/>
              <w:rPr>
                <w:sz w:val="22"/>
              </w:rPr>
            </w:pPr>
            <w:proofErr w:type="spellStart"/>
            <w:r>
              <w:rPr>
                <w:sz w:val="22"/>
              </w:rPr>
              <w:t>Datuen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babesaren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arloan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Euskadiko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Autonomia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Erkidegoan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indarrean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dagoen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araudia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egokitzea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abenduaren</w:t>
            </w:r>
            <w:proofErr w:type="spellEnd"/>
            <w:r w:rsidR="00B7204C" w:rsidRPr="008803E2">
              <w:rPr>
                <w:sz w:val="22"/>
              </w:rPr>
              <w:t xml:space="preserve"> 5eko 3/2018 </w:t>
            </w:r>
            <w:proofErr w:type="spellStart"/>
            <w:r w:rsidR="00B7204C" w:rsidRPr="008803E2">
              <w:rPr>
                <w:sz w:val="22"/>
              </w:rPr>
              <w:t>Lege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Organikora</w:t>
            </w:r>
            <w:proofErr w:type="spellEnd"/>
            <w:r>
              <w:rPr>
                <w:sz w:val="22"/>
              </w:rPr>
              <w:t>,</w:t>
            </w:r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Datu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Pertsonalak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Babesteko</w:t>
            </w:r>
            <w:proofErr w:type="spellEnd"/>
            <w:r w:rsidR="00B7204C" w:rsidRPr="008803E2">
              <w:rPr>
                <w:sz w:val="22"/>
              </w:rPr>
              <w:t xml:space="preserve"> eta </w:t>
            </w:r>
            <w:proofErr w:type="spellStart"/>
            <w:r w:rsidR="00B7204C" w:rsidRPr="008803E2">
              <w:rPr>
                <w:sz w:val="22"/>
              </w:rPr>
              <w:t>Eskubide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Digitalak</w:t>
            </w:r>
            <w:proofErr w:type="spellEnd"/>
            <w:r w:rsidR="00B7204C" w:rsidRPr="008803E2">
              <w:rPr>
                <w:sz w:val="22"/>
              </w:rPr>
              <w:t xml:space="preserve"> </w:t>
            </w:r>
            <w:proofErr w:type="spellStart"/>
            <w:r w:rsidR="00B7204C" w:rsidRPr="008803E2">
              <w:rPr>
                <w:sz w:val="22"/>
              </w:rPr>
              <w:t>Bermatzekora</w:t>
            </w:r>
            <w:proofErr w:type="spellEnd"/>
            <w:r w:rsidR="00B7204C" w:rsidRPr="008803E2">
              <w:rPr>
                <w:sz w:val="22"/>
              </w:rPr>
              <w:t>.</w:t>
            </w:r>
          </w:p>
          <w:p w:rsidR="008803E2" w:rsidRPr="008803E2" w:rsidRDefault="008803E2" w:rsidP="008803E2">
            <w:pPr>
              <w:pStyle w:val="Zerrenda-paragrafoa"/>
              <w:rPr>
                <w:sz w:val="22"/>
              </w:rPr>
            </w:pPr>
          </w:p>
          <w:p w:rsidR="00C96539" w:rsidRPr="008803E2" w:rsidRDefault="00B7204C" w:rsidP="00B7204C">
            <w:pPr>
              <w:pStyle w:val="Zerrenda-paragrafoa"/>
              <w:numPr>
                <w:ilvl w:val="0"/>
                <w:numId w:val="4"/>
              </w:numPr>
              <w:spacing w:after="64" w:line="240" w:lineRule="auto"/>
              <w:ind w:left="329" w:right="62"/>
              <w:rPr>
                <w:sz w:val="22"/>
              </w:rPr>
            </w:pPr>
            <w:proofErr w:type="spellStart"/>
            <w:r w:rsidRPr="008803E2">
              <w:rPr>
                <w:sz w:val="22"/>
              </w:rPr>
              <w:t>Datuak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Babesteko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Euskal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Agintaritzaren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araubide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juridikoa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arautzea</w:t>
            </w:r>
            <w:proofErr w:type="spellEnd"/>
            <w:r w:rsidRPr="008803E2">
              <w:rPr>
                <w:sz w:val="22"/>
              </w:rPr>
              <w:t>.</w:t>
            </w:r>
          </w:p>
        </w:tc>
      </w:tr>
      <w:tr w:rsidR="00E2776F" w:rsidRPr="008803E2" w:rsidTr="00030140">
        <w:trPr>
          <w:trHeight w:val="1446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96539" w:rsidRPr="008803E2" w:rsidRDefault="00E2776F" w:rsidP="00E2776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8803E2">
              <w:rPr>
                <w:b/>
                <w:color w:val="00003A"/>
                <w:sz w:val="22"/>
              </w:rPr>
              <w:t>IZAN LITEZKEEN BESTELAKO AUKERA ERREGULATZAILE ETA EZ ERREGULATZAILEAK</w:t>
            </w:r>
          </w:p>
        </w:tc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6539" w:rsidRPr="008803E2" w:rsidRDefault="00B7204C" w:rsidP="004F4E96">
            <w:pPr>
              <w:spacing w:after="0" w:line="259" w:lineRule="auto"/>
              <w:ind w:left="0" w:right="61" w:firstLine="0"/>
              <w:rPr>
                <w:sz w:val="22"/>
              </w:rPr>
            </w:pPr>
            <w:proofErr w:type="spellStart"/>
            <w:r w:rsidRPr="008803E2">
              <w:rPr>
                <w:sz w:val="22"/>
              </w:rPr>
              <w:t>N</w:t>
            </w:r>
            <w:r w:rsidR="004F4E96" w:rsidRPr="008803E2">
              <w:rPr>
                <w:sz w:val="22"/>
              </w:rPr>
              <w:t>ahitaezkoa</w:t>
            </w:r>
            <w:proofErr w:type="spellEnd"/>
            <w:r w:rsidR="004F4E96" w:rsidRPr="008803E2">
              <w:rPr>
                <w:sz w:val="22"/>
              </w:rPr>
              <w:t xml:space="preserve"> da </w:t>
            </w:r>
            <w:proofErr w:type="spellStart"/>
            <w:r w:rsidR="004F4E96" w:rsidRPr="008803E2">
              <w:rPr>
                <w:sz w:val="22"/>
              </w:rPr>
              <w:t>arau</w:t>
            </w:r>
            <w:r w:rsidR="004F4E96" w:rsidRPr="008803E2">
              <w:rPr>
                <w:sz w:val="22"/>
              </w:rPr>
              <w:noBreakHyphen/>
              <w:t>izaerako</w:t>
            </w:r>
            <w:proofErr w:type="spellEnd"/>
            <w:r w:rsidR="004F4E96" w:rsidRPr="008803E2">
              <w:rPr>
                <w:sz w:val="22"/>
              </w:rPr>
              <w:t xml:space="preserve"> </w:t>
            </w:r>
            <w:proofErr w:type="spellStart"/>
            <w:r w:rsidR="004F4E96" w:rsidRPr="008803E2">
              <w:rPr>
                <w:sz w:val="22"/>
              </w:rPr>
              <w:t>neurri</w:t>
            </w:r>
            <w:proofErr w:type="spellEnd"/>
            <w:r w:rsidR="004F4E96" w:rsidRPr="008803E2">
              <w:rPr>
                <w:sz w:val="22"/>
              </w:rPr>
              <w:t xml:space="preserve"> </w:t>
            </w:r>
            <w:proofErr w:type="spellStart"/>
            <w:r w:rsidR="004F4E96" w:rsidRPr="008803E2">
              <w:rPr>
                <w:sz w:val="22"/>
              </w:rPr>
              <w:t>espezifikoa</w:t>
            </w:r>
            <w:proofErr w:type="spellEnd"/>
            <w:r w:rsidR="004F4E96" w:rsidRPr="008803E2">
              <w:rPr>
                <w:sz w:val="22"/>
              </w:rPr>
              <w:t xml:space="preserve"> </w:t>
            </w:r>
            <w:proofErr w:type="spellStart"/>
            <w:r w:rsidR="004F4E96" w:rsidRPr="008803E2">
              <w:rPr>
                <w:sz w:val="22"/>
              </w:rPr>
              <w:t>izapidetzea</w:t>
            </w:r>
            <w:proofErr w:type="spellEnd"/>
            <w:r w:rsidR="004F4E96" w:rsidRPr="008803E2">
              <w:rPr>
                <w:sz w:val="22"/>
              </w:rPr>
              <w:t xml:space="preserve">, </w:t>
            </w:r>
            <w:proofErr w:type="spellStart"/>
            <w:r w:rsidR="004F4E96" w:rsidRPr="008803E2">
              <w:rPr>
                <w:sz w:val="22"/>
              </w:rPr>
              <w:t>ezinezkoa</w:t>
            </w:r>
            <w:proofErr w:type="spellEnd"/>
            <w:r w:rsidR="004F4E96" w:rsidRPr="008803E2">
              <w:rPr>
                <w:sz w:val="22"/>
              </w:rPr>
              <w:t xml:space="preserve"> </w:t>
            </w:r>
            <w:proofErr w:type="spellStart"/>
            <w:r w:rsidR="004F4E96" w:rsidRPr="008803E2">
              <w:rPr>
                <w:sz w:val="22"/>
              </w:rPr>
              <w:t>baita</w:t>
            </w:r>
            <w:proofErr w:type="spellEnd"/>
            <w:r w:rsidR="004F4E96" w:rsidRPr="008803E2">
              <w:rPr>
                <w:sz w:val="22"/>
              </w:rPr>
              <w:t xml:space="preserve"> </w:t>
            </w:r>
            <w:proofErr w:type="spellStart"/>
            <w:r w:rsidR="004F4E96" w:rsidRPr="008803E2">
              <w:rPr>
                <w:sz w:val="22"/>
              </w:rPr>
              <w:t>bestelako</w:t>
            </w:r>
            <w:proofErr w:type="spellEnd"/>
            <w:r w:rsidR="004F4E96" w:rsidRPr="008803E2">
              <w:rPr>
                <w:sz w:val="22"/>
              </w:rPr>
              <w:t xml:space="preserve"> </w:t>
            </w:r>
            <w:proofErr w:type="spellStart"/>
            <w:r w:rsidR="004F4E96" w:rsidRPr="008803E2">
              <w:rPr>
                <w:sz w:val="22"/>
              </w:rPr>
              <w:t>konponbideak</w:t>
            </w:r>
            <w:proofErr w:type="spellEnd"/>
            <w:r w:rsidR="004F4E96" w:rsidRPr="008803E2">
              <w:rPr>
                <w:sz w:val="22"/>
              </w:rPr>
              <w:t xml:space="preserve"> </w:t>
            </w:r>
            <w:proofErr w:type="spellStart"/>
            <w:r w:rsidR="004F4E96" w:rsidRPr="008803E2">
              <w:rPr>
                <w:sz w:val="22"/>
              </w:rPr>
              <w:t>bilatzea</w:t>
            </w:r>
            <w:proofErr w:type="spellEnd"/>
            <w:r w:rsidR="004F4E96" w:rsidRPr="008803E2">
              <w:rPr>
                <w:sz w:val="22"/>
              </w:rPr>
              <w:t xml:space="preserve">, </w:t>
            </w:r>
            <w:proofErr w:type="spellStart"/>
            <w:r w:rsidRPr="008803E2">
              <w:rPr>
                <w:sz w:val="22"/>
              </w:rPr>
              <w:t>Europako</w:t>
            </w:r>
            <w:proofErr w:type="spellEnd"/>
            <w:r w:rsidRPr="008803E2">
              <w:rPr>
                <w:sz w:val="22"/>
              </w:rPr>
              <w:t xml:space="preserve"> eta </w:t>
            </w:r>
            <w:proofErr w:type="spellStart"/>
            <w:r w:rsidRPr="008803E2">
              <w:rPr>
                <w:sz w:val="22"/>
              </w:rPr>
              <w:t>estatuko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araudira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egokitu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behar</w:t>
            </w:r>
            <w:proofErr w:type="spellEnd"/>
            <w:r w:rsidRPr="008803E2">
              <w:rPr>
                <w:sz w:val="22"/>
              </w:rPr>
              <w:t xml:space="preserve"> </w:t>
            </w:r>
            <w:proofErr w:type="spellStart"/>
            <w:r w:rsidRPr="008803E2">
              <w:rPr>
                <w:sz w:val="22"/>
              </w:rPr>
              <w:t>delako</w:t>
            </w:r>
            <w:proofErr w:type="spellEnd"/>
            <w:r w:rsidR="004F4E96" w:rsidRPr="008803E2">
              <w:rPr>
                <w:sz w:val="22"/>
              </w:rPr>
              <w:t xml:space="preserve">. </w:t>
            </w:r>
          </w:p>
        </w:tc>
      </w:tr>
    </w:tbl>
    <w:p w:rsidR="00C96539" w:rsidRPr="008803E2" w:rsidRDefault="00C96539" w:rsidP="00D01A16">
      <w:pPr>
        <w:spacing w:after="0" w:line="259" w:lineRule="auto"/>
        <w:ind w:left="231" w:firstLine="0"/>
        <w:jc w:val="center"/>
        <w:rPr>
          <w:sz w:val="22"/>
        </w:rPr>
      </w:pPr>
    </w:p>
    <w:sectPr w:rsidR="00C96539" w:rsidRPr="008803E2" w:rsidSect="00DD7636">
      <w:pgSz w:w="11907" w:h="16840"/>
      <w:pgMar w:top="1487" w:right="1701" w:bottom="575" w:left="14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898"/>
    <w:multiLevelType w:val="hybridMultilevel"/>
    <w:tmpl w:val="569045DA"/>
    <w:lvl w:ilvl="0" w:tplc="38B4D82E">
      <w:start w:val="1"/>
      <w:numFmt w:val="lowerLetter"/>
      <w:lvlText w:val="%1)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E3C6A">
      <w:start w:val="1"/>
      <w:numFmt w:val="lowerLetter"/>
      <w:lvlText w:val="%2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E84238">
      <w:start w:val="1"/>
      <w:numFmt w:val="lowerRoman"/>
      <w:lvlText w:val="%3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67452">
      <w:start w:val="1"/>
      <w:numFmt w:val="decimal"/>
      <w:lvlText w:val="%4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CE93A">
      <w:start w:val="1"/>
      <w:numFmt w:val="lowerLetter"/>
      <w:lvlText w:val="%5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C3B3C">
      <w:start w:val="1"/>
      <w:numFmt w:val="lowerRoman"/>
      <w:lvlText w:val="%6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08E1A">
      <w:start w:val="1"/>
      <w:numFmt w:val="decimal"/>
      <w:lvlText w:val="%7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C155C">
      <w:start w:val="1"/>
      <w:numFmt w:val="lowerLetter"/>
      <w:lvlText w:val="%8"/>
      <w:lvlJc w:val="left"/>
      <w:pPr>
        <w:ind w:left="6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5A7C4C">
      <w:start w:val="1"/>
      <w:numFmt w:val="lowerRoman"/>
      <w:lvlText w:val="%9"/>
      <w:lvlJc w:val="left"/>
      <w:pPr>
        <w:ind w:left="7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9A4F98"/>
    <w:multiLevelType w:val="hybridMultilevel"/>
    <w:tmpl w:val="674C31B4"/>
    <w:lvl w:ilvl="0" w:tplc="0C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73BC3700"/>
    <w:multiLevelType w:val="hybridMultilevel"/>
    <w:tmpl w:val="4F98071E"/>
    <w:lvl w:ilvl="0" w:tplc="042D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 w15:restartNumberingAfterBreak="0">
    <w:nsid w:val="77345CBF"/>
    <w:multiLevelType w:val="hybridMultilevel"/>
    <w:tmpl w:val="892604A4"/>
    <w:lvl w:ilvl="0" w:tplc="6A9449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8DCF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89D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0C06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2D7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E6E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ED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6CA0C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4EEC6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39"/>
    <w:rsid w:val="00030140"/>
    <w:rsid w:val="00083943"/>
    <w:rsid w:val="000C565B"/>
    <w:rsid w:val="000E7D65"/>
    <w:rsid w:val="00181647"/>
    <w:rsid w:val="001A00C3"/>
    <w:rsid w:val="00270332"/>
    <w:rsid w:val="00286F4F"/>
    <w:rsid w:val="00287120"/>
    <w:rsid w:val="00294D73"/>
    <w:rsid w:val="0036405F"/>
    <w:rsid w:val="004B2C70"/>
    <w:rsid w:val="004B404C"/>
    <w:rsid w:val="004C52BC"/>
    <w:rsid w:val="004C7938"/>
    <w:rsid w:val="004D4A24"/>
    <w:rsid w:val="004F0B19"/>
    <w:rsid w:val="004F4E96"/>
    <w:rsid w:val="00546E36"/>
    <w:rsid w:val="00556D7E"/>
    <w:rsid w:val="00677B32"/>
    <w:rsid w:val="007223E7"/>
    <w:rsid w:val="007E6641"/>
    <w:rsid w:val="00806568"/>
    <w:rsid w:val="00876A91"/>
    <w:rsid w:val="008803E2"/>
    <w:rsid w:val="008E7A70"/>
    <w:rsid w:val="0093770C"/>
    <w:rsid w:val="00971A9F"/>
    <w:rsid w:val="00981A12"/>
    <w:rsid w:val="009F5116"/>
    <w:rsid w:val="00A452F2"/>
    <w:rsid w:val="00AA78DF"/>
    <w:rsid w:val="00AB7B14"/>
    <w:rsid w:val="00B7204C"/>
    <w:rsid w:val="00BE36E4"/>
    <w:rsid w:val="00C11158"/>
    <w:rsid w:val="00C96539"/>
    <w:rsid w:val="00D01A16"/>
    <w:rsid w:val="00D026D3"/>
    <w:rsid w:val="00D061C8"/>
    <w:rsid w:val="00D65FBA"/>
    <w:rsid w:val="00DD7636"/>
    <w:rsid w:val="00E0115A"/>
    <w:rsid w:val="00E13997"/>
    <w:rsid w:val="00E2776F"/>
    <w:rsid w:val="00EC5238"/>
    <w:rsid w:val="00EE26CC"/>
    <w:rsid w:val="00F02798"/>
    <w:rsid w:val="00F12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8F73"/>
  <w15:docId w15:val="{0ADD685E-69A8-4DCA-BBAE-91E5A6CE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DD7636"/>
    <w:pPr>
      <w:spacing w:after="327" w:line="268" w:lineRule="auto"/>
      <w:ind w:left="24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Grid">
    <w:name w:val="TableGrid"/>
    <w:rsid w:val="00DD76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a">
    <w:name w:val="Emphasis"/>
    <w:uiPriority w:val="99"/>
    <w:qFormat/>
    <w:rsid w:val="00C11158"/>
    <w:rPr>
      <w:i/>
      <w:iCs/>
    </w:rPr>
  </w:style>
  <w:style w:type="paragraph" w:styleId="Zerrenda-paragrafoa">
    <w:name w:val="List Paragraph"/>
    <w:basedOn w:val="Normala"/>
    <w:uiPriority w:val="34"/>
    <w:qFormat/>
    <w:rsid w:val="00C1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5E21F9C836A47956C95BAC3C03181" ma:contentTypeVersion="13" ma:contentTypeDescription="Create a new document." ma:contentTypeScope="" ma:versionID="72263ece7efb1998f38a97e803d87af0">
  <xsd:schema xmlns:xsd="http://www.w3.org/2001/XMLSchema" xmlns:xs="http://www.w3.org/2001/XMLSchema" xmlns:p="http://schemas.microsoft.com/office/2006/metadata/properties" xmlns:ns3="6774d194-7cbc-4435-89f4-d5477eec72ab" xmlns:ns4="3e0ccec9-0ebb-4958-af4e-6f06ef2b1e74" targetNamespace="http://schemas.microsoft.com/office/2006/metadata/properties" ma:root="true" ma:fieldsID="fa24b889356d20495a4a267edeed25a1" ns3:_="" ns4:_="">
    <xsd:import namespace="6774d194-7cbc-4435-89f4-d5477eec72ab"/>
    <xsd:import namespace="3e0ccec9-0ebb-4958-af4e-6f06ef2b1e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4d194-7cbc-4435-89f4-d5477eec72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ccec9-0ebb-4958-af4e-6f06ef2b1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88979-A4D9-4041-8BA5-C15C9DFA9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4d194-7cbc-4435-89f4-d5477eec72ab"/>
    <ds:schemaRef ds:uri="3e0ccec9-0ebb-4958-af4e-6f06ef2b1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6A14D-7D4C-4CAA-A4EB-FA1AB90FA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CD01C4-EF14-4C24-80B4-7A824C0C5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554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Abad Pinedo, Txomin</dc:creator>
  <cp:lastModifiedBy>Vicuña Sanabria, Ainhoa</cp:lastModifiedBy>
  <cp:revision>6</cp:revision>
  <dcterms:created xsi:type="dcterms:W3CDTF">2021-05-20T12:14:00Z</dcterms:created>
  <dcterms:modified xsi:type="dcterms:W3CDTF">2021-05-20T12:44:00Z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0x0101008605E21F9C836A47956C95BAC3C03181</vt:lpwstr>
  </property>
</Properties>
</file>